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5" w:type="dxa"/>
        <w:tblInd w:w="108" w:type="dxa"/>
        <w:tblLayout w:type="fixed"/>
        <w:tblLook w:val="0000"/>
      </w:tblPr>
      <w:tblGrid>
        <w:gridCol w:w="7162"/>
        <w:gridCol w:w="2313"/>
        <w:gridCol w:w="5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7"/>
      </w:tblGrid>
      <w:tr w:rsidR="00235A64" w:rsidTr="006E5250">
        <w:trPr>
          <w:trHeight w:val="823"/>
        </w:trPr>
        <w:tc>
          <w:tcPr>
            <w:tcW w:w="15625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35A64" w:rsidRDefault="00235A64" w:rsidP="00760F31">
            <w:pPr>
              <w:snapToGrid w:val="0"/>
              <w:spacing w:before="120" w:after="120"/>
              <w:jc w:val="center"/>
            </w:pPr>
            <w:r>
              <w:rPr>
                <w:sz w:val="28"/>
                <w:szCs w:val="28"/>
                <w:u w:val="single"/>
              </w:rPr>
              <w:t>Sezione 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</w:rPr>
              <w:t>MISURE DIDATTICHE FUNZIONALI ALL’APPRENDIMENTO</w:t>
            </w:r>
            <w:r w:rsidR="008E7F9B" w:rsidRPr="008E7F9B">
              <w:rPr>
                <w:b/>
                <w:sz w:val="28"/>
                <w:szCs w:val="28"/>
              </w:rPr>
              <w:t xml:space="preserve">– </w:t>
            </w:r>
            <w:r w:rsidR="008105DC">
              <w:rPr>
                <w:b/>
                <w:sz w:val="28"/>
                <w:szCs w:val="28"/>
              </w:rPr>
              <w:t>TRIENNIO</w:t>
            </w:r>
            <w:r w:rsidR="008E7F9B" w:rsidRPr="008E7F9B">
              <w:rPr>
                <w:b/>
                <w:sz w:val="28"/>
                <w:szCs w:val="28"/>
              </w:rPr>
              <w:t xml:space="preserve"> </w:t>
            </w:r>
            <w:r w:rsidR="00C40CE4">
              <w:rPr>
                <w:b/>
                <w:sz w:val="28"/>
                <w:szCs w:val="28"/>
              </w:rPr>
              <w:t>CHIMICA</w:t>
            </w:r>
          </w:p>
          <w:p w:rsidR="00B05BC0" w:rsidRPr="00760F31" w:rsidRDefault="00235A64" w:rsidP="00760F31">
            <w:pPr>
              <w:snapToGrid w:val="0"/>
              <w:spacing w:before="120" w:after="120"/>
              <w:jc w:val="center"/>
              <w:rPr>
                <w:sz w:val="28"/>
              </w:rPr>
            </w:pPr>
            <w:r w:rsidRPr="00760F31">
              <w:rPr>
                <w:szCs w:val="22"/>
              </w:rPr>
              <w:t>Prospetto riassuntivo delle indicazioni fornite da ci</w:t>
            </w:r>
            <w:r w:rsidR="00760F31">
              <w:rPr>
                <w:szCs w:val="22"/>
              </w:rPr>
              <w:t>ascun docente del Consiglio di C</w:t>
            </w:r>
            <w:r w:rsidRPr="00760F31">
              <w:rPr>
                <w:szCs w:val="22"/>
              </w:rPr>
              <w:t>lasse per l’</w:t>
            </w:r>
            <w:r w:rsidR="00760F31">
              <w:rPr>
                <w:szCs w:val="22"/>
              </w:rPr>
              <w:t>A</w:t>
            </w:r>
            <w:r w:rsidRPr="00760F31">
              <w:rPr>
                <w:szCs w:val="22"/>
              </w:rPr>
              <w:t xml:space="preserve">nno </w:t>
            </w:r>
            <w:r w:rsidR="00760F31">
              <w:rPr>
                <w:szCs w:val="22"/>
              </w:rPr>
              <w:t>S</w:t>
            </w:r>
            <w:r w:rsidRPr="00760F31">
              <w:rPr>
                <w:szCs w:val="22"/>
              </w:rPr>
              <w:t>colastico in corso</w:t>
            </w:r>
          </w:p>
          <w:p w:rsidR="00235A64" w:rsidRPr="00760F31" w:rsidRDefault="00235A64" w:rsidP="00760F31">
            <w:pPr>
              <w:snapToGrid w:val="0"/>
              <w:spacing w:before="120" w:after="120"/>
              <w:jc w:val="center"/>
              <w:rPr>
                <w:smallCaps/>
                <w:sz w:val="28"/>
                <w:szCs w:val="28"/>
              </w:rPr>
            </w:pPr>
            <w:r w:rsidRPr="00760F31">
              <w:rPr>
                <w:sz w:val="22"/>
                <w:szCs w:val="22"/>
              </w:rPr>
              <w:t>Le seguenti misure saranno sottoposte periodicamente a monitoraggio per valutarne l’efficacia e il raggiungimento degli obiettivi (L.170/2010 art.5, c.3)</w:t>
            </w:r>
          </w:p>
        </w:tc>
      </w:tr>
      <w:tr w:rsidR="00760F31" w:rsidTr="00760F31">
        <w:trPr>
          <w:trHeight w:val="1227"/>
        </w:trPr>
        <w:tc>
          <w:tcPr>
            <w:tcW w:w="716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60F31" w:rsidRDefault="00760F31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760F31" w:rsidRDefault="00760F31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313" w:type="dxa"/>
            <w:vMerge w:val="restart"/>
            <w:tcBorders>
              <w:top w:val="single" w:sz="4" w:space="0" w:color="808080"/>
              <w:left w:val="nil"/>
            </w:tcBorders>
            <w:shd w:val="clear" w:color="auto" w:fill="D9D9D9"/>
            <w:vAlign w:val="bottom"/>
          </w:tcPr>
          <w:p w:rsidR="00760F31" w:rsidRDefault="00760F31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8E7F9B">
              <w:rPr>
                <w:b/>
                <w:bCs/>
                <w:sz w:val="28"/>
                <w:szCs w:val="28"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760F31" w:rsidRDefault="00760F31" w:rsidP="008E7F9B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bookmarkStart w:id="0" w:name="_GoBack"/>
            <w:bookmarkEnd w:id="0"/>
          </w:p>
        </w:tc>
        <w:tc>
          <w:tcPr>
            <w:tcW w:w="59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FB161D" w:rsidRDefault="00760F31" w:rsidP="006B061E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FB161D" w:rsidRDefault="00760F31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FB161D" w:rsidRDefault="00760F31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FB161D" w:rsidRDefault="00760F31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  <w:r>
              <w:rPr>
                <w:rFonts w:eastAsia="Verdana"/>
                <w:b/>
                <w:sz w:val="22"/>
                <w:szCs w:val="22"/>
              </w:rPr>
              <w:t xml:space="preserve"> e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  COMPLEMENTI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760F31" w:rsidRDefault="00760F31" w:rsidP="008765C3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CHIMICA ANALITICA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760F31" w:rsidRDefault="00760F31" w:rsidP="007B3E30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CHIMICA ORGANICA E B</w:t>
            </w:r>
            <w:r>
              <w:rPr>
                <w:rFonts w:eastAsia="Verdana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760F31" w:rsidRDefault="00760F31" w:rsidP="00760F31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 xml:space="preserve">. </w:t>
            </w:r>
            <w:proofErr w:type="spellStart"/>
            <w:r w:rsidRPr="00760F31">
              <w:rPr>
                <w:rFonts w:eastAsia="Verdana"/>
                <w:b/>
                <w:sz w:val="22"/>
                <w:szCs w:val="22"/>
              </w:rPr>
              <w:t>CHIM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</w:t>
            </w:r>
            <w:r w:rsidRPr="00760F31">
              <w:rPr>
                <w:rFonts w:eastAsia="Verdana"/>
                <w:b/>
                <w:sz w:val="22"/>
                <w:szCs w:val="22"/>
              </w:rPr>
              <w:t xml:space="preserve"> INDUSTRIALI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FB161D" w:rsidRDefault="00760F31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FB161D" w:rsidRDefault="00760F31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271856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60F31" w:rsidRPr="00FB161D" w:rsidRDefault="00760F31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5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760F31" w:rsidRPr="00BA2DD5" w:rsidRDefault="00760F31" w:rsidP="0073513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760F31" w:rsidTr="00760F31">
        <w:trPr>
          <w:trHeight w:val="784"/>
        </w:trPr>
        <w:tc>
          <w:tcPr>
            <w:tcW w:w="716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60F31" w:rsidRDefault="00760F31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:rsidR="00760F31" w:rsidRPr="008E7F9B" w:rsidRDefault="00760F31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F60811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0F31" w:rsidRPr="00BA2DD5" w:rsidRDefault="00760F31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271856" w:rsidTr="00760F31">
        <w:trPr>
          <w:trHeight w:val="25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375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</w:tr>
      <w:tr w:rsidR="00271856" w:rsidTr="00760F31">
        <w:trPr>
          <w:trHeight w:val="375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Integrare libri di testo con appunti su supporto digitalizzato o su supporto cartaceo stampato adattato per tipologia di carattere e di spaziatura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297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127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482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271856" w:rsidTr="00760F31">
        <w:trPr>
          <w:trHeight w:val="169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tabs>
                <w:tab w:val="left" w:pos="5502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</w:tr>
      <w:tr w:rsidR="00271856" w:rsidTr="00760F31">
        <w:trPr>
          <w:trHeight w:val="95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133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71856" w:rsidTr="00760F31">
        <w:trPr>
          <w:trHeight w:val="158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35A64" w:rsidRDefault="00235A64" w:rsidP="00235A64">
      <w:pPr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363"/>
        <w:gridCol w:w="2135"/>
        <w:gridCol w:w="567"/>
        <w:gridCol w:w="567"/>
        <w:gridCol w:w="609"/>
        <w:gridCol w:w="525"/>
        <w:gridCol w:w="567"/>
        <w:gridCol w:w="567"/>
        <w:gridCol w:w="567"/>
        <w:gridCol w:w="569"/>
        <w:gridCol w:w="565"/>
        <w:gridCol w:w="567"/>
        <w:gridCol w:w="425"/>
      </w:tblGrid>
      <w:tr w:rsidR="001E5EDB" w:rsidTr="001E5EDB">
        <w:trPr>
          <w:trHeight w:val="1302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E5EDB" w:rsidRDefault="001E5EDB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  <w:p w:rsidR="001E5EDB" w:rsidRDefault="001E5EDB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5EDB" w:rsidRDefault="001E5EDB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E5EDB">
              <w:rPr>
                <w:b/>
                <w:bCs/>
                <w:szCs w:val="20"/>
              </w:rPr>
              <w:t xml:space="preserve">MATERIE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1E5EDB" w:rsidRDefault="001E5EDB" w:rsidP="007A4871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60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  <w:r>
              <w:rPr>
                <w:rFonts w:eastAsia="Verdana"/>
                <w:b/>
                <w:sz w:val="22"/>
                <w:szCs w:val="22"/>
              </w:rPr>
              <w:t xml:space="preserve"> e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  COMPLEMENTI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760F31" w:rsidRDefault="001E5EDB" w:rsidP="006B061E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CHIMICA ANALITICA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760F31" w:rsidRDefault="001E5EDB" w:rsidP="006B061E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CHIMICA ORGANICA E B</w:t>
            </w:r>
            <w:r>
              <w:rPr>
                <w:rFonts w:eastAsia="Verdana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760F31" w:rsidRDefault="001E5EDB" w:rsidP="006B061E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 xml:space="preserve">. </w:t>
            </w:r>
            <w:proofErr w:type="spellStart"/>
            <w:r w:rsidRPr="00760F31">
              <w:rPr>
                <w:rFonts w:eastAsia="Verdana"/>
                <w:b/>
                <w:sz w:val="22"/>
                <w:szCs w:val="22"/>
              </w:rPr>
              <w:t>CHIM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</w:t>
            </w:r>
            <w:r w:rsidRPr="00760F31">
              <w:rPr>
                <w:rFonts w:eastAsia="Verdana"/>
                <w:b/>
                <w:sz w:val="22"/>
                <w:szCs w:val="22"/>
              </w:rPr>
              <w:t xml:space="preserve"> INDUSTRIALI</w:t>
            </w:r>
          </w:p>
        </w:tc>
        <w:tc>
          <w:tcPr>
            <w:tcW w:w="56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271856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BA2DD5" w:rsidRDefault="001E5EDB" w:rsidP="00030249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1E5EDB" w:rsidTr="001E5EDB">
        <w:trPr>
          <w:trHeight w:val="709"/>
        </w:trPr>
        <w:tc>
          <w:tcPr>
            <w:tcW w:w="7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1E5EDB" w:rsidRDefault="001E5EDB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5EDB" w:rsidRDefault="001E5EDB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121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Limitare o evitare la lettura ad alta voce all’alunno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0C32E3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420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autoSpaceDE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Far utilizzare </w:t>
            </w:r>
            <w:r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i</w:t>
            </w:r>
            <w:r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la</w:t>
            </w:r>
            <w:r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71856" w:rsidTr="001E5EDB">
        <w:trPr>
          <w:trHeight w:val="375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35A64" w:rsidRDefault="00235A64" w:rsidP="00235A64">
      <w:pPr>
        <w:spacing w:before="40" w:after="40"/>
        <w:rPr>
          <w:sz w:val="12"/>
          <w:szCs w:val="12"/>
        </w:rPr>
      </w:pPr>
    </w:p>
    <w:p w:rsidR="00235A64" w:rsidRDefault="00235A64" w:rsidP="00235A64">
      <w:pPr>
        <w:pageBreakBefore/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100"/>
        <w:gridCol w:w="2401"/>
        <w:gridCol w:w="564"/>
        <w:gridCol w:w="567"/>
        <w:gridCol w:w="567"/>
        <w:gridCol w:w="567"/>
        <w:gridCol w:w="567"/>
        <w:gridCol w:w="567"/>
        <w:gridCol w:w="605"/>
        <w:gridCol w:w="500"/>
        <w:gridCol w:w="596"/>
        <w:gridCol w:w="567"/>
        <w:gridCol w:w="425"/>
      </w:tblGrid>
      <w:tr w:rsidR="001E5EDB" w:rsidTr="001E5EDB">
        <w:trPr>
          <w:trHeight w:val="1314"/>
        </w:trPr>
        <w:tc>
          <w:tcPr>
            <w:tcW w:w="71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vAlign w:val="bottom"/>
          </w:tcPr>
          <w:p w:rsidR="001E5EDB" w:rsidRDefault="001E5ED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1E5EDB" w:rsidRDefault="001E5EDB" w:rsidP="008765C3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</w:t>
            </w:r>
          </w:p>
        </w:tc>
        <w:tc>
          <w:tcPr>
            <w:tcW w:w="2401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1E5EDB" w:rsidRDefault="001E5EDB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0F2202">
              <w:rPr>
                <w:b/>
                <w:bCs/>
                <w:sz w:val="28"/>
                <w:szCs w:val="28"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1E5EDB" w:rsidRDefault="001E5EDB" w:rsidP="000F2202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  <w:r>
              <w:rPr>
                <w:rFonts w:eastAsia="Verdana"/>
                <w:b/>
                <w:sz w:val="22"/>
                <w:szCs w:val="22"/>
              </w:rPr>
              <w:t xml:space="preserve"> e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  COMPLEMENTI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760F31" w:rsidRDefault="001E5EDB" w:rsidP="006B061E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CHIMICA ANALITICA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760F31" w:rsidRDefault="001E5EDB" w:rsidP="006B061E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CHIMICA ORGANICA E B</w:t>
            </w:r>
            <w:r>
              <w:rPr>
                <w:rFonts w:eastAsia="Verdana"/>
                <w:b/>
                <w:sz w:val="22"/>
                <w:szCs w:val="22"/>
              </w:rPr>
              <w:t>.</w:t>
            </w:r>
          </w:p>
        </w:tc>
        <w:tc>
          <w:tcPr>
            <w:tcW w:w="60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760F31" w:rsidRDefault="001E5EDB" w:rsidP="006B061E">
            <w:pPr>
              <w:snapToGrid w:val="0"/>
              <w:ind w:left="113" w:right="113"/>
              <w:rPr>
                <w:rFonts w:eastAsia="Verdana"/>
                <w:b/>
              </w:rPr>
            </w:pPr>
            <w:r w:rsidRPr="00760F31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 xml:space="preserve">. </w:t>
            </w:r>
            <w:proofErr w:type="spellStart"/>
            <w:r w:rsidRPr="00760F31">
              <w:rPr>
                <w:rFonts w:eastAsia="Verdana"/>
                <w:b/>
                <w:sz w:val="22"/>
                <w:szCs w:val="22"/>
              </w:rPr>
              <w:t>CHIM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</w:t>
            </w:r>
            <w:r w:rsidRPr="00760F31">
              <w:rPr>
                <w:rFonts w:eastAsia="Verdana"/>
                <w:b/>
                <w:sz w:val="22"/>
                <w:szCs w:val="22"/>
              </w:rPr>
              <w:t xml:space="preserve"> INDUSTRIALI</w:t>
            </w:r>
          </w:p>
        </w:tc>
        <w:tc>
          <w:tcPr>
            <w:tcW w:w="50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9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271856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FB161D" w:rsidRDefault="001E5EDB" w:rsidP="006B061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E5EDB" w:rsidRPr="00BA2DD5" w:rsidRDefault="001E5EDB" w:rsidP="00030249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1E5EDB" w:rsidTr="001E5EDB">
        <w:trPr>
          <w:trHeight w:val="697"/>
        </w:trPr>
        <w:tc>
          <w:tcPr>
            <w:tcW w:w="71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bottom"/>
          </w:tcPr>
          <w:p w:rsidR="001E5EDB" w:rsidRDefault="001E5ED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1E5EDB" w:rsidRPr="000F2202" w:rsidRDefault="001E5ED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1E5EDB" w:rsidRPr="00BA2DD5" w:rsidRDefault="001E5ED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271856" w:rsidTr="001E5EDB">
        <w:trPr>
          <w:trHeight w:val="277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259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397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179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161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157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iCs/>
                <w:spacing w:val="-4"/>
                <w:sz w:val="21"/>
                <w:szCs w:val="21"/>
              </w:rPr>
            </w:pPr>
            <w:r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>
              <w:rPr>
                <w:i/>
                <w:spacing w:val="-4"/>
                <w:sz w:val="21"/>
                <w:szCs w:val="21"/>
              </w:rPr>
              <w:t xml:space="preserve"> V/F, aperte</w:t>
            </w:r>
            <w:r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</w:tr>
      <w:tr w:rsidR="00271856" w:rsidTr="001E5EDB">
        <w:trPr>
          <w:trHeight w:val="397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Prevedere tempi più lunghi </w:t>
            </w:r>
            <w:r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>
              <w:rPr>
                <w:i/>
                <w:sz w:val="21"/>
                <w:szCs w:val="21"/>
              </w:rPr>
              <w:t xml:space="preserve">riduzione del numero di quesiti e/o </w:t>
            </w:r>
            <w:r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909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pStyle w:val="Corpodeltesto"/>
              <w:snapToGrid w:val="0"/>
              <w:spacing w:before="40" w:after="40" w:line="240" w:lineRule="auto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>
              <w:rPr>
                <w:i/>
                <w:sz w:val="21"/>
                <w:szCs w:val="21"/>
              </w:rPr>
              <w:t xml:space="preserve">utilizzare, se necessario, carattere del testo ingrandito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</w:tr>
      <w:tr w:rsidR="00271856" w:rsidTr="001E5EDB">
        <w:trPr>
          <w:trHeight w:val="331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300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914341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</w:pPr>
          </w:p>
        </w:tc>
      </w:tr>
      <w:tr w:rsidR="00271856" w:rsidTr="001E5EDB">
        <w:trPr>
          <w:trHeight w:val="115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277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271856" w:rsidTr="001E5EDB">
        <w:trPr>
          <w:trHeight w:val="260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397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71856" w:rsidTr="001E5EDB">
        <w:trPr>
          <w:trHeight w:val="131"/>
        </w:trPr>
        <w:tc>
          <w:tcPr>
            <w:tcW w:w="95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widowControl w:val="0"/>
              <w:kinsoku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Pr="00914341" w:rsidRDefault="0027185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1856" w:rsidRDefault="00271856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6F2D39" w:rsidRDefault="00271856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p w:rsidR="00271856" w:rsidRPr="00DA62B9" w:rsidRDefault="00271856" w:rsidP="00271856">
      <w:pPr>
        <w:pStyle w:val="Style8"/>
        <w:numPr>
          <w:ilvl w:val="0"/>
          <w:numId w:val="1"/>
        </w:numPr>
        <w:kinsoku w:val="0"/>
        <w:autoSpaceDE/>
        <w:spacing w:before="0" w:line="24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2B9">
        <w:rPr>
          <w:rFonts w:ascii="Times New Roman" w:hAnsi="Times New Roman" w:cs="Times New Roman"/>
          <w:b/>
          <w:sz w:val="22"/>
          <w:szCs w:val="22"/>
        </w:rPr>
        <w:t xml:space="preserve">EDUCAZIONE CIVICA: i docenti titolari di un modulo relativo alla materia </w:t>
      </w:r>
      <w:r>
        <w:rPr>
          <w:rFonts w:ascii="Times New Roman" w:hAnsi="Times New Roman" w:cs="Times New Roman"/>
          <w:b/>
          <w:sz w:val="22"/>
          <w:szCs w:val="22"/>
        </w:rPr>
        <w:t>“</w:t>
      </w:r>
      <w:r w:rsidRPr="00DA62B9">
        <w:rPr>
          <w:rFonts w:ascii="Times New Roman" w:hAnsi="Times New Roman" w:cs="Times New Roman"/>
          <w:b/>
          <w:sz w:val="22"/>
          <w:szCs w:val="22"/>
        </w:rPr>
        <w:t>Educazione Civica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 attribuiranno le medesime strategie metodologiche e le stesse </w:t>
      </w:r>
      <w:r>
        <w:rPr>
          <w:rFonts w:ascii="Times New Roman" w:hAnsi="Times New Roman" w:cs="Times New Roman"/>
          <w:b/>
          <w:sz w:val="22"/>
          <w:szCs w:val="22"/>
        </w:rPr>
        <w:t xml:space="preserve">misure </w:t>
      </w:r>
      <w:proofErr w:type="spellStart"/>
      <w:r w:rsidRPr="00DA62B9">
        <w:rPr>
          <w:rFonts w:ascii="Times New Roman" w:hAnsi="Times New Roman" w:cs="Times New Roman"/>
          <w:b/>
          <w:sz w:val="22"/>
          <w:szCs w:val="22"/>
        </w:rPr>
        <w:t>dispensative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previste per le loro discipline </w:t>
      </w:r>
      <w:r>
        <w:rPr>
          <w:rFonts w:ascii="Times New Roman" w:hAnsi="Times New Roman" w:cs="Times New Roman"/>
          <w:b/>
          <w:sz w:val="22"/>
          <w:szCs w:val="22"/>
        </w:rPr>
        <w:t>di titolarità</w:t>
      </w:r>
      <w:r w:rsidRPr="00DA62B9">
        <w:rPr>
          <w:rFonts w:ascii="Times New Roman" w:hAnsi="Times New Roman" w:cs="Times New Roman"/>
          <w:b/>
          <w:sz w:val="22"/>
          <w:szCs w:val="22"/>
        </w:rPr>
        <w:t>.</w:t>
      </w:r>
    </w:p>
    <w:p w:rsidR="00271856" w:rsidRDefault="00271856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sectPr w:rsidR="00271856" w:rsidSect="00615F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87"/>
    <w:multiLevelType w:val="hybridMultilevel"/>
    <w:tmpl w:val="B4F6E48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35A64"/>
    <w:rsid w:val="000B4292"/>
    <w:rsid w:val="000C32E3"/>
    <w:rsid w:val="000F2202"/>
    <w:rsid w:val="001E5EDB"/>
    <w:rsid w:val="00200875"/>
    <w:rsid w:val="002029BE"/>
    <w:rsid w:val="00233A5E"/>
    <w:rsid w:val="00233CCF"/>
    <w:rsid w:val="00235A64"/>
    <w:rsid w:val="00246B64"/>
    <w:rsid w:val="00271856"/>
    <w:rsid w:val="00294846"/>
    <w:rsid w:val="002C0324"/>
    <w:rsid w:val="00464D24"/>
    <w:rsid w:val="00493CCE"/>
    <w:rsid w:val="004A0CDC"/>
    <w:rsid w:val="004B223E"/>
    <w:rsid w:val="004B5E04"/>
    <w:rsid w:val="005559EF"/>
    <w:rsid w:val="005C0451"/>
    <w:rsid w:val="005D60E9"/>
    <w:rsid w:val="00603DCA"/>
    <w:rsid w:val="00607F92"/>
    <w:rsid w:val="00615FB5"/>
    <w:rsid w:val="00647EA3"/>
    <w:rsid w:val="0065616D"/>
    <w:rsid w:val="00666BB8"/>
    <w:rsid w:val="006E5250"/>
    <w:rsid w:val="00735132"/>
    <w:rsid w:val="00756631"/>
    <w:rsid w:val="00760F31"/>
    <w:rsid w:val="007A4871"/>
    <w:rsid w:val="007B3E30"/>
    <w:rsid w:val="007F27AA"/>
    <w:rsid w:val="008105DC"/>
    <w:rsid w:val="0082440E"/>
    <w:rsid w:val="008C0596"/>
    <w:rsid w:val="008E7F9B"/>
    <w:rsid w:val="00914341"/>
    <w:rsid w:val="00987B99"/>
    <w:rsid w:val="009D7E7A"/>
    <w:rsid w:val="00A35331"/>
    <w:rsid w:val="00A5564C"/>
    <w:rsid w:val="00A77447"/>
    <w:rsid w:val="00AB27EF"/>
    <w:rsid w:val="00AF2700"/>
    <w:rsid w:val="00B0117F"/>
    <w:rsid w:val="00B05BC0"/>
    <w:rsid w:val="00B07275"/>
    <w:rsid w:val="00B0755F"/>
    <w:rsid w:val="00B95FDE"/>
    <w:rsid w:val="00BA2DD5"/>
    <w:rsid w:val="00BB125F"/>
    <w:rsid w:val="00C03BD8"/>
    <w:rsid w:val="00C31B63"/>
    <w:rsid w:val="00C40CE4"/>
    <w:rsid w:val="00C6292B"/>
    <w:rsid w:val="00E200B9"/>
    <w:rsid w:val="00E4272F"/>
    <w:rsid w:val="00E7536C"/>
    <w:rsid w:val="00E91241"/>
    <w:rsid w:val="00F6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235A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testo">
    <w:name w:val="Body Text"/>
    <w:basedOn w:val="Normale"/>
    <w:link w:val="CorpotestoCarattere"/>
    <w:rsid w:val="00235A64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gradito ospite</cp:lastModifiedBy>
  <cp:revision>3</cp:revision>
  <dcterms:created xsi:type="dcterms:W3CDTF">2022-07-14T11:51:00Z</dcterms:created>
  <dcterms:modified xsi:type="dcterms:W3CDTF">2022-11-08T11:58:00Z</dcterms:modified>
</cp:coreProperties>
</file>